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4A" w:rsidRDefault="007C11DC">
      <w:pPr>
        <w:pStyle w:val="normal0"/>
        <w:ind w:firstLine="720"/>
        <w:jc w:val="center"/>
        <w:rPr>
          <w:b/>
          <w:u w:val="single"/>
        </w:rPr>
      </w:pPr>
      <w:r>
        <w:rPr>
          <w:b/>
          <w:u w:val="single"/>
        </w:rPr>
        <w:t>Top College Football Players Based on Points Scored</w:t>
      </w:r>
    </w:p>
    <w:p w:rsidR="0023234A" w:rsidRDefault="007C11DC">
      <w:pPr>
        <w:pStyle w:val="normal0"/>
        <w:ind w:firstLine="720"/>
        <w:jc w:val="center"/>
        <w:rPr>
          <w:sz w:val="18"/>
          <w:szCs w:val="18"/>
        </w:rPr>
      </w:pPr>
      <w:r>
        <w:rPr>
          <w:sz w:val="18"/>
          <w:szCs w:val="18"/>
        </w:rPr>
        <w:t xml:space="preserve">By: Taylor and Olivia </w:t>
      </w:r>
    </w:p>
    <w:p w:rsidR="0023234A" w:rsidRDefault="0023234A">
      <w:pPr>
        <w:pStyle w:val="normal0"/>
        <w:ind w:firstLine="720"/>
      </w:pPr>
    </w:p>
    <w:p w:rsidR="0023234A" w:rsidRDefault="007C11DC">
      <w:pPr>
        <w:pStyle w:val="normal0"/>
        <w:ind w:firstLine="720"/>
      </w:pPr>
      <w:r>
        <w:t xml:space="preserve">  Top College Football Players by Points Scored as of October 5</w:t>
      </w:r>
    </w:p>
    <w:p w:rsidR="0023234A" w:rsidRDefault="0023234A">
      <w:pPr>
        <w:pStyle w:val="normal0"/>
      </w:pPr>
    </w:p>
    <w:tbl>
      <w:tblPr>
        <w:tblStyle w:val="a"/>
        <w:tblW w:w="7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7200"/>
      </w:tblGrid>
      <w:tr w:rsidR="0023234A">
        <w:trPr>
          <w:trHeight w:val="380"/>
        </w:trPr>
        <w:tc>
          <w:tcPr>
            <w:tcW w:w="795" w:type="dxa"/>
            <w:shd w:val="clear" w:color="auto" w:fill="auto"/>
            <w:tcMar>
              <w:top w:w="100" w:type="dxa"/>
              <w:left w:w="100" w:type="dxa"/>
              <w:bottom w:w="100" w:type="dxa"/>
              <w:right w:w="100" w:type="dxa"/>
            </w:tcMar>
          </w:tcPr>
          <w:p w:rsidR="0023234A" w:rsidRDefault="007C11DC">
            <w:pPr>
              <w:pStyle w:val="normal0"/>
              <w:widowControl w:val="0"/>
              <w:spacing w:line="240" w:lineRule="auto"/>
              <w:jc w:val="right"/>
            </w:pPr>
            <w:r>
              <w:t>4</w:t>
            </w:r>
          </w:p>
        </w:tc>
        <w:tc>
          <w:tcPr>
            <w:tcW w:w="7200" w:type="dxa"/>
            <w:shd w:val="clear" w:color="auto" w:fill="auto"/>
            <w:tcMar>
              <w:top w:w="100" w:type="dxa"/>
              <w:left w:w="100" w:type="dxa"/>
              <w:bottom w:w="100" w:type="dxa"/>
              <w:right w:w="100" w:type="dxa"/>
            </w:tcMar>
          </w:tcPr>
          <w:p w:rsidR="0023234A" w:rsidRDefault="007C11DC">
            <w:pPr>
              <w:pStyle w:val="normal0"/>
            </w:pPr>
            <w:r>
              <w:t xml:space="preserve">2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w:t>
            </w:r>
            <w:proofErr w:type="spellStart"/>
            <w:r>
              <w:t>2</w:t>
            </w:r>
            <w:proofErr w:type="spellEnd"/>
            <w:r>
              <w:t xml:space="preserve"> 3 </w:t>
            </w:r>
            <w:proofErr w:type="spellStart"/>
            <w:r>
              <w:t>3</w:t>
            </w:r>
            <w:proofErr w:type="spellEnd"/>
            <w:r>
              <w:t xml:space="preserve"> 4 </w:t>
            </w:r>
            <w:proofErr w:type="spellStart"/>
            <w:r>
              <w:t>4</w:t>
            </w:r>
            <w:proofErr w:type="spellEnd"/>
            <w:r>
              <w:t xml:space="preserve"> </w:t>
            </w:r>
            <w:proofErr w:type="spellStart"/>
            <w:r>
              <w:t>4</w:t>
            </w:r>
            <w:proofErr w:type="spellEnd"/>
            <w:r>
              <w:t xml:space="preserve"> 5 </w:t>
            </w:r>
            <w:proofErr w:type="spellStart"/>
            <w:r>
              <w:t>5</w:t>
            </w:r>
            <w:proofErr w:type="spellEnd"/>
            <w:r>
              <w:t xml:space="preserve"> </w:t>
            </w:r>
            <w:proofErr w:type="spellStart"/>
            <w:r>
              <w:t>5</w:t>
            </w:r>
            <w:proofErr w:type="spellEnd"/>
            <w:r>
              <w:t xml:space="preserve"> 6 </w:t>
            </w:r>
            <w:proofErr w:type="spellStart"/>
            <w:r>
              <w:t>6</w:t>
            </w:r>
            <w:proofErr w:type="spellEnd"/>
            <w:r>
              <w:t xml:space="preserve"> </w:t>
            </w:r>
            <w:proofErr w:type="spellStart"/>
            <w:r>
              <w:t>6</w:t>
            </w:r>
            <w:proofErr w:type="spellEnd"/>
            <w:r>
              <w:t xml:space="preserve"> 7 </w:t>
            </w:r>
            <w:proofErr w:type="spellStart"/>
            <w:r>
              <w:t>7</w:t>
            </w:r>
            <w:proofErr w:type="spellEnd"/>
            <w:r>
              <w:t xml:space="preserve"> 8 </w:t>
            </w:r>
            <w:proofErr w:type="spellStart"/>
            <w:r>
              <w:t>8</w:t>
            </w:r>
            <w:proofErr w:type="spellEnd"/>
            <w:r>
              <w:t xml:space="preserve"> </w:t>
            </w:r>
            <w:proofErr w:type="spellStart"/>
            <w:r>
              <w:t>8</w:t>
            </w:r>
            <w:proofErr w:type="spellEnd"/>
            <w:r>
              <w:t xml:space="preserve"> </w:t>
            </w:r>
            <w:proofErr w:type="spellStart"/>
            <w:r>
              <w:t>8</w:t>
            </w:r>
            <w:proofErr w:type="spellEnd"/>
            <w:r>
              <w:t xml:space="preserve"> </w:t>
            </w:r>
            <w:proofErr w:type="spellStart"/>
            <w:r>
              <w:t>8</w:t>
            </w:r>
            <w:proofErr w:type="spellEnd"/>
            <w:r>
              <w:t xml:space="preserve"> </w:t>
            </w:r>
            <w:proofErr w:type="spellStart"/>
            <w:r>
              <w:t>8</w:t>
            </w:r>
            <w:proofErr w:type="spellEnd"/>
            <w:r>
              <w:t xml:space="preserve"> </w:t>
            </w:r>
            <w:proofErr w:type="spellStart"/>
            <w:r>
              <w:t>8</w:t>
            </w:r>
            <w:proofErr w:type="spellEnd"/>
            <w:r>
              <w:t xml:space="preserve"> </w:t>
            </w:r>
            <w:proofErr w:type="spellStart"/>
            <w:r>
              <w:t>8</w:t>
            </w:r>
            <w:proofErr w:type="spellEnd"/>
            <w:r>
              <w:t xml:space="preserve"> </w:t>
            </w:r>
            <w:proofErr w:type="spellStart"/>
            <w:r>
              <w:t>8</w:t>
            </w:r>
            <w:proofErr w:type="spellEnd"/>
            <w:r>
              <w:t xml:space="preserve"> </w:t>
            </w:r>
            <w:proofErr w:type="spellStart"/>
            <w:r>
              <w:t>8</w:t>
            </w:r>
            <w:proofErr w:type="spellEnd"/>
            <w:r>
              <w:t xml:space="preserve"> 9 </w:t>
            </w:r>
            <w:proofErr w:type="spellStart"/>
            <w:r>
              <w:t>9</w:t>
            </w:r>
            <w:proofErr w:type="spellEnd"/>
            <w:r>
              <w:t xml:space="preserve"> </w:t>
            </w:r>
          </w:p>
        </w:tc>
      </w:tr>
      <w:tr w:rsidR="0023234A">
        <w:tc>
          <w:tcPr>
            <w:tcW w:w="795" w:type="dxa"/>
            <w:shd w:val="clear" w:color="auto" w:fill="auto"/>
            <w:tcMar>
              <w:top w:w="100" w:type="dxa"/>
              <w:left w:w="100" w:type="dxa"/>
              <w:bottom w:w="100" w:type="dxa"/>
              <w:right w:w="100" w:type="dxa"/>
            </w:tcMar>
          </w:tcPr>
          <w:p w:rsidR="0023234A" w:rsidRDefault="007C11DC">
            <w:pPr>
              <w:pStyle w:val="normal0"/>
              <w:widowControl w:val="0"/>
              <w:spacing w:line="240" w:lineRule="auto"/>
              <w:jc w:val="right"/>
            </w:pPr>
            <w:r>
              <w:t>5</w:t>
            </w:r>
          </w:p>
        </w:tc>
        <w:tc>
          <w:tcPr>
            <w:tcW w:w="7200" w:type="dxa"/>
            <w:shd w:val="clear" w:color="auto" w:fill="auto"/>
            <w:tcMar>
              <w:top w:w="100" w:type="dxa"/>
              <w:left w:w="100" w:type="dxa"/>
              <w:bottom w:w="100" w:type="dxa"/>
              <w:right w:w="100" w:type="dxa"/>
            </w:tcMar>
          </w:tcPr>
          <w:p w:rsidR="0023234A" w:rsidRDefault="007C11DC">
            <w:pPr>
              <w:pStyle w:val="normal0"/>
            </w:pPr>
            <w:r>
              <w:t xml:space="preserve">1 2 4 </w:t>
            </w:r>
            <w:proofErr w:type="spellStart"/>
            <w:r>
              <w:t>4</w:t>
            </w:r>
            <w:proofErr w:type="spellEnd"/>
            <w:r>
              <w:t xml:space="preserve"> </w:t>
            </w:r>
            <w:proofErr w:type="spellStart"/>
            <w:r>
              <w:t>4</w:t>
            </w:r>
            <w:proofErr w:type="spellEnd"/>
            <w:r>
              <w:t xml:space="preserve"> </w:t>
            </w:r>
            <w:proofErr w:type="spellStart"/>
            <w:r>
              <w:t>4</w:t>
            </w:r>
            <w:proofErr w:type="spellEnd"/>
            <w:r>
              <w:t xml:space="preserve"> </w:t>
            </w:r>
            <w:proofErr w:type="spellStart"/>
            <w:r>
              <w:t>4</w:t>
            </w:r>
            <w:proofErr w:type="spellEnd"/>
            <w:r>
              <w:t xml:space="preserve"> </w:t>
            </w:r>
            <w:proofErr w:type="spellStart"/>
            <w:r>
              <w:t>4</w:t>
            </w:r>
            <w:proofErr w:type="spellEnd"/>
            <w:r>
              <w:t xml:space="preserve"> </w:t>
            </w:r>
            <w:proofErr w:type="spellStart"/>
            <w:r>
              <w:t>4</w:t>
            </w:r>
            <w:proofErr w:type="spellEnd"/>
            <w:r>
              <w:t xml:space="preserve"> 6 </w:t>
            </w:r>
            <w:proofErr w:type="spellStart"/>
            <w:r>
              <w:t>6</w:t>
            </w:r>
            <w:proofErr w:type="spellEnd"/>
            <w:r>
              <w:t xml:space="preserve"> </w:t>
            </w:r>
          </w:p>
        </w:tc>
      </w:tr>
      <w:tr w:rsidR="0023234A">
        <w:tc>
          <w:tcPr>
            <w:tcW w:w="795" w:type="dxa"/>
            <w:shd w:val="clear" w:color="auto" w:fill="auto"/>
            <w:tcMar>
              <w:top w:w="100" w:type="dxa"/>
              <w:left w:w="100" w:type="dxa"/>
              <w:bottom w:w="100" w:type="dxa"/>
              <w:right w:w="100" w:type="dxa"/>
            </w:tcMar>
          </w:tcPr>
          <w:p w:rsidR="0023234A" w:rsidRDefault="007C11DC">
            <w:pPr>
              <w:pStyle w:val="normal0"/>
              <w:widowControl w:val="0"/>
              <w:spacing w:line="240" w:lineRule="auto"/>
              <w:jc w:val="right"/>
            </w:pPr>
            <w:r>
              <w:t>6</w:t>
            </w:r>
          </w:p>
        </w:tc>
        <w:tc>
          <w:tcPr>
            <w:tcW w:w="7200" w:type="dxa"/>
            <w:shd w:val="clear" w:color="auto" w:fill="auto"/>
            <w:tcMar>
              <w:top w:w="100" w:type="dxa"/>
              <w:left w:w="100" w:type="dxa"/>
              <w:bottom w:w="100" w:type="dxa"/>
              <w:right w:w="100" w:type="dxa"/>
            </w:tcMar>
          </w:tcPr>
          <w:p w:rsidR="0023234A" w:rsidRDefault="007C11DC">
            <w:pPr>
              <w:pStyle w:val="normal0"/>
            </w:pPr>
            <w:r>
              <w:t xml:space="preserve">0 </w:t>
            </w:r>
            <w:proofErr w:type="spellStart"/>
            <w:r>
              <w:t>0</w:t>
            </w:r>
            <w:proofErr w:type="spellEnd"/>
          </w:p>
        </w:tc>
      </w:tr>
    </w:tbl>
    <w:p w:rsidR="0023234A" w:rsidRDefault="0023234A">
      <w:pPr>
        <w:pStyle w:val="normal0"/>
      </w:pPr>
    </w:p>
    <w:tbl>
      <w:tblPr>
        <w:tblStyle w:val="a0"/>
        <w:tblW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480"/>
      </w:tblGrid>
      <w:tr w:rsidR="0023234A">
        <w:tc>
          <w:tcPr>
            <w:tcW w:w="570" w:type="dxa"/>
            <w:shd w:val="clear" w:color="auto" w:fill="auto"/>
            <w:tcMar>
              <w:top w:w="100" w:type="dxa"/>
              <w:left w:w="100" w:type="dxa"/>
              <w:bottom w:w="100" w:type="dxa"/>
              <w:right w:w="100" w:type="dxa"/>
            </w:tcMar>
          </w:tcPr>
          <w:p w:rsidR="0023234A" w:rsidRDefault="007C11DC">
            <w:pPr>
              <w:pStyle w:val="normal0"/>
              <w:widowControl w:val="0"/>
              <w:spacing w:line="240" w:lineRule="auto"/>
              <w:jc w:val="right"/>
            </w:pPr>
            <w:r>
              <w:t>4</w:t>
            </w:r>
          </w:p>
        </w:tc>
        <w:tc>
          <w:tcPr>
            <w:tcW w:w="480" w:type="dxa"/>
            <w:shd w:val="clear" w:color="auto" w:fill="auto"/>
            <w:tcMar>
              <w:top w:w="100" w:type="dxa"/>
              <w:left w:w="100" w:type="dxa"/>
              <w:bottom w:w="100" w:type="dxa"/>
              <w:right w:w="100" w:type="dxa"/>
            </w:tcMar>
          </w:tcPr>
          <w:p w:rsidR="0023234A" w:rsidRDefault="007C11DC">
            <w:pPr>
              <w:pStyle w:val="normal0"/>
              <w:widowControl w:val="0"/>
              <w:spacing w:line="240" w:lineRule="auto"/>
            </w:pPr>
            <w:r>
              <w:t>2</w:t>
            </w:r>
          </w:p>
        </w:tc>
      </w:tr>
    </w:tbl>
    <w:p w:rsidR="0023234A" w:rsidRDefault="007C11DC">
      <w:pPr>
        <w:pStyle w:val="normal0"/>
      </w:pPr>
      <w:proofErr w:type="gramStart"/>
      <w:r>
        <w:t>means</w:t>
      </w:r>
      <w:proofErr w:type="gramEnd"/>
      <w:r>
        <w:t xml:space="preserve"> 42 points scored by a college football player. </w:t>
      </w:r>
    </w:p>
    <w:p w:rsidR="0023234A" w:rsidRDefault="0023234A">
      <w:pPr>
        <w:pStyle w:val="normal0"/>
      </w:pPr>
    </w:p>
    <w:p w:rsidR="0023234A" w:rsidRDefault="007C11DC">
      <w:pPr>
        <w:pStyle w:val="normal0"/>
      </w:pPr>
      <w:r>
        <w:t>The stem-and-leaf plot ranks the order at which points were scored while arranging them into groups based on the tens place.  Players were mostly in the 40s range.  The 50s range was less than half of the 40s range, and the 60s range only had a total of tw</w:t>
      </w:r>
      <w:r>
        <w:t>o data points.</w:t>
      </w:r>
    </w:p>
    <w:p w:rsidR="0023234A" w:rsidRDefault="0023234A">
      <w:pPr>
        <w:pStyle w:val="normal0"/>
      </w:pPr>
    </w:p>
    <w:p w:rsidR="0023234A" w:rsidRDefault="0023234A">
      <w:pPr>
        <w:pStyle w:val="normal0"/>
      </w:pPr>
    </w:p>
    <w:p w:rsidR="0023234A" w:rsidRDefault="007C11DC">
      <w:pPr>
        <w:pStyle w:val="normal0"/>
        <w:jc w:val="center"/>
      </w:pPr>
      <w:r>
        <w:t>Top College Football Players by Points Scored as of October 5</w:t>
      </w:r>
    </w:p>
    <w:p w:rsidR="0023234A" w:rsidRDefault="0023234A">
      <w:pPr>
        <w:pStyle w:val="normal0"/>
        <w:jc w:val="center"/>
      </w:pPr>
    </w:p>
    <w:p w:rsidR="0023234A" w:rsidRDefault="007C11DC">
      <w:pPr>
        <w:pStyle w:val="normal0"/>
      </w:pPr>
      <w:r>
        <w:t>Class Width: 3</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1560"/>
        <w:gridCol w:w="1560"/>
        <w:gridCol w:w="1560"/>
        <w:gridCol w:w="1560"/>
        <w:gridCol w:w="1560"/>
      </w:tblGrid>
      <w:tr w:rsidR="0023234A">
        <w:trPr>
          <w:trHeight w:val="1260"/>
        </w:trPr>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Class Limits</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Class Boundaries</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Midpoint</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Frequency</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Relative Frequency</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Cumulative Frequency</w:t>
            </w:r>
          </w:p>
        </w:tc>
      </w:tr>
      <w:tr w:rsidR="0023234A">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42-44</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41.5-44.5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43</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18</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.35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18</w:t>
            </w:r>
          </w:p>
        </w:tc>
      </w:tr>
      <w:tr w:rsidR="0023234A">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45-47</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44.5-47.5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46</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8</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.15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26</w:t>
            </w:r>
          </w:p>
        </w:tc>
      </w:tr>
      <w:tr w:rsidR="0023234A">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48-50</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47.5-50.5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49</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13</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.25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39</w:t>
            </w:r>
          </w:p>
        </w:tc>
      </w:tr>
      <w:tr w:rsidR="0023234A">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51-53</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50.5-53.5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52</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2</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.04</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41</w:t>
            </w:r>
          </w:p>
        </w:tc>
      </w:tr>
      <w:tr w:rsidR="0023234A">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54-56</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53.5-56.5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9</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.17</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50</w:t>
            </w:r>
          </w:p>
        </w:tc>
      </w:tr>
      <w:tr w:rsidR="0023234A">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57-59</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56.5-59.5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58</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0</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0</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50</w:t>
            </w:r>
          </w:p>
        </w:tc>
      </w:tr>
      <w:tr w:rsidR="0023234A">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60-62</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59.5-62.5</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61</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2</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.04</w:t>
            </w:r>
          </w:p>
        </w:tc>
        <w:tc>
          <w:tcPr>
            <w:tcW w:w="1560" w:type="dxa"/>
            <w:shd w:val="clear" w:color="auto" w:fill="auto"/>
            <w:tcMar>
              <w:top w:w="100" w:type="dxa"/>
              <w:left w:w="100" w:type="dxa"/>
              <w:bottom w:w="100" w:type="dxa"/>
              <w:right w:w="100" w:type="dxa"/>
            </w:tcMar>
          </w:tcPr>
          <w:p w:rsidR="0023234A" w:rsidRDefault="007C11DC">
            <w:pPr>
              <w:pStyle w:val="normal0"/>
              <w:widowControl w:val="0"/>
              <w:spacing w:line="240" w:lineRule="auto"/>
              <w:jc w:val="center"/>
            </w:pPr>
            <w:r>
              <w:t>52</w:t>
            </w:r>
          </w:p>
        </w:tc>
      </w:tr>
    </w:tbl>
    <w:p w:rsidR="0023234A" w:rsidRDefault="0023234A">
      <w:pPr>
        <w:pStyle w:val="normal0"/>
      </w:pPr>
    </w:p>
    <w:p w:rsidR="0023234A" w:rsidRDefault="0023234A">
      <w:pPr>
        <w:pStyle w:val="normal0"/>
      </w:pPr>
    </w:p>
    <w:p w:rsidR="0023234A" w:rsidRDefault="007C11DC">
      <w:pPr>
        <w:pStyle w:val="normal0"/>
      </w:pPr>
      <w:r>
        <w:t xml:space="preserve">The frequency table displays the frequency of points being scored for a particular data range, while also showing the relative and cumulative frequency.  Frequency is how many times an </w:t>
      </w:r>
      <w:proofErr w:type="gramStart"/>
      <w:r>
        <w:lastRenderedPageBreak/>
        <w:t>event</w:t>
      </w:r>
      <w:proofErr w:type="gramEnd"/>
      <w:r>
        <w:t xml:space="preserve"> occurs so, for example, in the 42-44 point range, 18 players were</w:t>
      </w:r>
      <w:r>
        <w:t xml:space="preserve"> able to score in this range.  The relative frequency is the portion out of one for how many times an event occurs so, for the same example, the relative frequency for the event would be .35.  The cumulative frequency is a accumulation</w:t>
      </w:r>
      <w:r>
        <w:t xml:space="preserve"> of all the data, which</w:t>
      </w:r>
      <w:r>
        <w:t xml:space="preserve"> can be found by adding all of the frequencies together.</w:t>
      </w:r>
    </w:p>
    <w:p w:rsidR="0023234A" w:rsidRDefault="0023234A">
      <w:pPr>
        <w:pStyle w:val="normal0"/>
      </w:pPr>
    </w:p>
    <w:p w:rsidR="0023234A" w:rsidRDefault="007C11DC">
      <w:pPr>
        <w:pStyle w:val="normal0"/>
      </w:pPr>
      <w:r>
        <w:rPr>
          <w:noProof/>
          <w:lang w:val="en-US"/>
        </w:rPr>
        <w:drawing>
          <wp:anchor distT="114300" distB="114300" distL="114300" distR="114300" simplePos="0" relativeHeight="251658240" behindDoc="0" locked="0" layoutInCell="1" allowOverlap="1">
            <wp:simplePos x="0" y="0"/>
            <wp:positionH relativeFrom="margin">
              <wp:posOffset>-114300</wp:posOffset>
            </wp:positionH>
            <wp:positionV relativeFrom="paragraph">
              <wp:posOffset>3549015</wp:posOffset>
            </wp:positionV>
            <wp:extent cx="4772025" cy="2857500"/>
            <wp:effectExtent l="19050" t="0" r="9525" b="0"/>
            <wp:wrapTopAndBottom distT="114300" distB="114300"/>
            <wp:docPr id="1" name="image5.png" descr="Top 52 College Football Players by Points Scored as of October 5"/>
            <wp:cNvGraphicFramePr/>
            <a:graphic xmlns:a="http://schemas.openxmlformats.org/drawingml/2006/main">
              <a:graphicData uri="http://schemas.openxmlformats.org/drawingml/2006/picture">
                <pic:pic xmlns:pic="http://schemas.openxmlformats.org/drawingml/2006/picture">
                  <pic:nvPicPr>
                    <pic:cNvPr id="0" name="image5.png" descr="Top 52 College Football Players by Points Scored as of October 5"/>
                    <pic:cNvPicPr preferRelativeResize="0"/>
                  </pic:nvPicPr>
                  <pic:blipFill>
                    <a:blip r:embed="rId4"/>
                    <a:srcRect/>
                    <a:stretch>
                      <a:fillRect/>
                    </a:stretch>
                  </pic:blipFill>
                  <pic:spPr>
                    <a:xfrm>
                      <a:off x="0" y="0"/>
                      <a:ext cx="4772025" cy="2857500"/>
                    </a:xfrm>
                    <a:prstGeom prst="rect">
                      <a:avLst/>
                    </a:prstGeom>
                    <a:ln/>
                  </pic:spPr>
                </pic:pic>
              </a:graphicData>
            </a:graphic>
          </wp:anchor>
        </w:drawing>
      </w:r>
      <w:r>
        <w:t>The circle graph displays proportional parts of each range compared to the whole set of data.  Using this visual, it is easy to see what point range was the most common, what one was least common, a</w:t>
      </w:r>
      <w:r>
        <w:t xml:space="preserve">nd what ones fell in between. </w:t>
      </w:r>
      <w:r>
        <w:rPr>
          <w:noProof/>
          <w:lang w:val="en-US"/>
        </w:rPr>
        <w:drawing>
          <wp:anchor distT="114300" distB="114300" distL="114300" distR="114300" simplePos="0" relativeHeight="251659264" behindDoc="0" locked="0" layoutInCell="1" allowOverlap="1">
            <wp:simplePos x="0" y="0"/>
            <wp:positionH relativeFrom="margin">
              <wp:posOffset>-114299</wp:posOffset>
            </wp:positionH>
            <wp:positionV relativeFrom="paragraph">
              <wp:posOffset>0</wp:posOffset>
            </wp:positionV>
            <wp:extent cx="4110038" cy="2535840"/>
            <wp:effectExtent l="0" t="0" r="0" b="0"/>
            <wp:wrapTopAndBottom distT="114300" distB="114300"/>
            <wp:docPr id="2" name="image7.png" descr="Top 52 College Football Players by Points Scored as of October 5"/>
            <wp:cNvGraphicFramePr/>
            <a:graphic xmlns:a="http://schemas.openxmlformats.org/drawingml/2006/main">
              <a:graphicData uri="http://schemas.openxmlformats.org/drawingml/2006/picture">
                <pic:pic xmlns:pic="http://schemas.openxmlformats.org/drawingml/2006/picture">
                  <pic:nvPicPr>
                    <pic:cNvPr id="0" name="image7.png" descr="Top 52 College Football Players by Points Scored as of October 5"/>
                    <pic:cNvPicPr preferRelativeResize="0"/>
                  </pic:nvPicPr>
                  <pic:blipFill>
                    <a:blip r:embed="rId5"/>
                    <a:srcRect/>
                    <a:stretch>
                      <a:fillRect/>
                    </a:stretch>
                  </pic:blipFill>
                  <pic:spPr>
                    <a:xfrm>
                      <a:off x="0" y="0"/>
                      <a:ext cx="4110038" cy="2535840"/>
                    </a:xfrm>
                    <a:prstGeom prst="rect">
                      <a:avLst/>
                    </a:prstGeom>
                    <a:ln/>
                  </pic:spPr>
                </pic:pic>
              </a:graphicData>
            </a:graphic>
          </wp:anchor>
        </w:drawing>
      </w:r>
    </w:p>
    <w:p w:rsidR="0023234A" w:rsidRDefault="007C11DC">
      <w:pPr>
        <w:pStyle w:val="normal0"/>
      </w:pPr>
      <w:r>
        <w:t xml:space="preserve">The </w:t>
      </w:r>
      <w:proofErr w:type="spellStart"/>
      <w:r>
        <w:t>ogive</w:t>
      </w:r>
      <w:proofErr w:type="spellEnd"/>
      <w:r>
        <w:t xml:space="preserve"> is a representation of the cumulative frequency, which is the sum of the frequencies of a data set.  It’s useful if a person wants to pinpoint exact frequencies while seeing how they increase.  However, it can be </w:t>
      </w:r>
      <w:r>
        <w:t>misleading as it could be mistaken for a time-series graph.</w:t>
      </w:r>
    </w:p>
    <w:p w:rsidR="0023234A" w:rsidRDefault="007C11DC">
      <w:pPr>
        <w:pStyle w:val="normal0"/>
      </w:pPr>
      <w:r>
        <w:rPr>
          <w:noProof/>
          <w:lang w:val="en-US"/>
        </w:rPr>
        <w:lastRenderedPageBreak/>
        <w:drawing>
          <wp:inline distT="114300" distB="114300" distL="114300" distR="114300">
            <wp:extent cx="4173869" cy="2509838"/>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4173869" cy="2509838"/>
                    </a:xfrm>
                    <a:prstGeom prst="rect">
                      <a:avLst/>
                    </a:prstGeom>
                    <a:ln/>
                  </pic:spPr>
                </pic:pic>
              </a:graphicData>
            </a:graphic>
          </wp:inline>
        </w:drawing>
      </w:r>
    </w:p>
    <w:p w:rsidR="0023234A" w:rsidRDefault="007C11DC">
      <w:pPr>
        <w:pStyle w:val="normal0"/>
      </w:pPr>
      <w:r>
        <w:t>Histograms provide a way of displaying data found in frequency tables.  It is easy to read due to the different peaks, and can help a person see trends in data.  The histogram could be described</w:t>
      </w:r>
      <w:r>
        <w:t xml:space="preserve"> as </w:t>
      </w:r>
      <w:proofErr w:type="spellStart"/>
      <w:r>
        <w:t>trimodal</w:t>
      </w:r>
      <w:proofErr w:type="spellEnd"/>
      <w:r>
        <w:t xml:space="preserve"> because it has three peaks that are each separated by one class, and they all have varying values.</w:t>
      </w:r>
    </w:p>
    <w:p w:rsidR="0023234A" w:rsidRDefault="0023234A">
      <w:pPr>
        <w:pStyle w:val="normal0"/>
      </w:pPr>
    </w:p>
    <w:p w:rsidR="0023234A" w:rsidRDefault="007C11DC">
      <w:pPr>
        <w:pStyle w:val="normal0"/>
      </w:pPr>
      <w:r>
        <w:rPr>
          <w:noProof/>
          <w:lang w:val="en-US"/>
        </w:rPr>
        <w:drawing>
          <wp:inline distT="114300" distB="114300" distL="114300" distR="114300">
            <wp:extent cx="4186238" cy="2522832"/>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186238" cy="2522832"/>
                    </a:xfrm>
                    <a:prstGeom prst="rect">
                      <a:avLst/>
                    </a:prstGeom>
                    <a:ln/>
                  </pic:spPr>
                </pic:pic>
              </a:graphicData>
            </a:graphic>
          </wp:inline>
        </w:drawing>
      </w:r>
    </w:p>
    <w:p w:rsidR="0023234A" w:rsidRDefault="007C11DC">
      <w:pPr>
        <w:pStyle w:val="normal0"/>
      </w:pPr>
      <w:r>
        <w:t>The relative frequency histogram is visually similar to a regular histogram.  However, it gives decimals for the rate of frequency at which an event occurs.  Therefore, the percentage rate for an occurrence can be determined.  For example, the rate of 42-4</w:t>
      </w:r>
      <w:r>
        <w:t>4 points occurring is 35%, 45-47 points is 15%, and so on.</w:t>
      </w:r>
    </w:p>
    <w:p w:rsidR="0023234A" w:rsidRDefault="007C11DC">
      <w:pPr>
        <w:pStyle w:val="normal0"/>
      </w:pPr>
      <w:r>
        <w:rPr>
          <w:noProof/>
          <w:lang w:val="en-US"/>
        </w:rPr>
        <w:lastRenderedPageBreak/>
        <w:drawing>
          <wp:inline distT="114300" distB="114300" distL="114300" distR="114300">
            <wp:extent cx="3910013" cy="232607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910013" cy="2326070"/>
                    </a:xfrm>
                    <a:prstGeom prst="rect">
                      <a:avLst/>
                    </a:prstGeom>
                    <a:ln/>
                  </pic:spPr>
                </pic:pic>
              </a:graphicData>
            </a:graphic>
          </wp:inline>
        </w:drawing>
      </w:r>
    </w:p>
    <w:p w:rsidR="0023234A" w:rsidRDefault="007C11DC">
      <w:pPr>
        <w:pStyle w:val="normal0"/>
      </w:pPr>
      <w:r>
        <w:t>The most common frequency for points scored is in the 42-44 range.  It is followed by 48-50, 54-56, 45-47, 51-53, and then 60-62.  There was no player in the 57-59 range.  The conclusion that can</w:t>
      </w:r>
      <w:r>
        <w:t xml:space="preserve"> be drawn is that most players have scored fewer points, and when the range increases, there are fewer people that have or will fall in this range.  </w:t>
      </w:r>
    </w:p>
    <w:p w:rsidR="0023234A" w:rsidRDefault="0023234A">
      <w:pPr>
        <w:pStyle w:val="normal0"/>
      </w:pPr>
    </w:p>
    <w:p w:rsidR="0023234A" w:rsidRDefault="0023234A">
      <w:pPr>
        <w:pStyle w:val="normal0"/>
      </w:pPr>
    </w:p>
    <w:p w:rsidR="0023234A" w:rsidRDefault="007C11DC">
      <w:pPr>
        <w:pStyle w:val="normal0"/>
      </w:pPr>
      <w:r>
        <w:t>Although our research was originally going to be conducted using the top 50 football players by points s</w:t>
      </w:r>
      <w:r>
        <w:t xml:space="preserve">cored, we had to change it to the top 52 players due to duplicate results.  The website we used was </w:t>
      </w:r>
      <w:hyperlink r:id="rId9">
        <w:r>
          <w:rPr>
            <w:color w:val="1155CC"/>
            <w:u w:val="single"/>
          </w:rPr>
          <w:t>http://www.espn.com/college-football</w:t>
        </w:r>
        <w:r>
          <w:rPr>
            <w:color w:val="1155CC"/>
            <w:u w:val="single"/>
          </w:rPr>
          <w:t>/statistics/player/_/stat/scoring/sort/t</w:t>
        </w:r>
      </w:hyperlink>
    </w:p>
    <w:p w:rsidR="0023234A" w:rsidRDefault="0023234A">
      <w:pPr>
        <w:pStyle w:val="normal0"/>
      </w:pPr>
      <w:hyperlink r:id="rId10">
        <w:proofErr w:type="spellStart"/>
        <w:proofErr w:type="gramStart"/>
        <w:r w:rsidR="007C11DC">
          <w:rPr>
            <w:color w:val="1155CC"/>
            <w:u w:val="single"/>
          </w:rPr>
          <w:t>otalPoints</w:t>
        </w:r>
        <w:proofErr w:type="spellEnd"/>
        <w:r w:rsidR="007C11DC">
          <w:rPr>
            <w:color w:val="1155CC"/>
            <w:u w:val="single"/>
          </w:rPr>
          <w:t>/qualified/false</w:t>
        </w:r>
        <w:proofErr w:type="gramEnd"/>
      </w:hyperlink>
      <w:r w:rsidR="007C11DC">
        <w:t>.  The highest number of points scored was 60, while the lowest numbe</w:t>
      </w:r>
      <w:r w:rsidR="007C11DC">
        <w:t xml:space="preserve">r of points scored was 42.  The most common number of points scored was in the 40s range, followed by the 50s range and the 60s range.  This was expected because it’s still early on in the football season.  Since our research was based on only one day, we </w:t>
      </w:r>
      <w:r w:rsidR="007C11DC">
        <w:t>were unable to make a time series graph because it didn’t change on October 5.  However, it would be possible to make a time-series graph based on the stats of players throughout the entire season rather than looking at a point accumulation</w:t>
      </w:r>
      <w:r w:rsidR="007C11DC">
        <w:t xml:space="preserve"> on one day.  </w:t>
      </w:r>
    </w:p>
    <w:p w:rsidR="0023234A" w:rsidRDefault="0023234A">
      <w:pPr>
        <w:pStyle w:val="normal0"/>
      </w:pPr>
    </w:p>
    <w:sectPr w:rsidR="0023234A" w:rsidSect="0023234A">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34A"/>
    <w:rsid w:val="0023234A"/>
    <w:rsid w:val="007C1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234A"/>
    <w:pPr>
      <w:keepNext/>
      <w:keepLines/>
      <w:spacing w:before="400" w:after="120"/>
      <w:outlineLvl w:val="0"/>
    </w:pPr>
    <w:rPr>
      <w:sz w:val="40"/>
      <w:szCs w:val="40"/>
    </w:rPr>
  </w:style>
  <w:style w:type="paragraph" w:styleId="Heading2">
    <w:name w:val="heading 2"/>
    <w:basedOn w:val="normal0"/>
    <w:next w:val="normal0"/>
    <w:rsid w:val="0023234A"/>
    <w:pPr>
      <w:keepNext/>
      <w:keepLines/>
      <w:spacing w:before="360" w:after="120"/>
      <w:outlineLvl w:val="1"/>
    </w:pPr>
    <w:rPr>
      <w:sz w:val="32"/>
      <w:szCs w:val="32"/>
    </w:rPr>
  </w:style>
  <w:style w:type="paragraph" w:styleId="Heading3">
    <w:name w:val="heading 3"/>
    <w:basedOn w:val="normal0"/>
    <w:next w:val="normal0"/>
    <w:rsid w:val="0023234A"/>
    <w:pPr>
      <w:keepNext/>
      <w:keepLines/>
      <w:spacing w:before="320" w:after="80"/>
      <w:outlineLvl w:val="2"/>
    </w:pPr>
    <w:rPr>
      <w:color w:val="434343"/>
      <w:sz w:val="28"/>
      <w:szCs w:val="28"/>
    </w:rPr>
  </w:style>
  <w:style w:type="paragraph" w:styleId="Heading4">
    <w:name w:val="heading 4"/>
    <w:basedOn w:val="normal0"/>
    <w:next w:val="normal0"/>
    <w:rsid w:val="0023234A"/>
    <w:pPr>
      <w:keepNext/>
      <w:keepLines/>
      <w:spacing w:before="280" w:after="80"/>
      <w:outlineLvl w:val="3"/>
    </w:pPr>
    <w:rPr>
      <w:color w:val="666666"/>
      <w:sz w:val="24"/>
      <w:szCs w:val="24"/>
    </w:rPr>
  </w:style>
  <w:style w:type="paragraph" w:styleId="Heading5">
    <w:name w:val="heading 5"/>
    <w:basedOn w:val="normal0"/>
    <w:next w:val="normal0"/>
    <w:rsid w:val="0023234A"/>
    <w:pPr>
      <w:keepNext/>
      <w:keepLines/>
      <w:spacing w:before="240" w:after="80"/>
      <w:outlineLvl w:val="4"/>
    </w:pPr>
    <w:rPr>
      <w:color w:val="666666"/>
    </w:rPr>
  </w:style>
  <w:style w:type="paragraph" w:styleId="Heading6">
    <w:name w:val="heading 6"/>
    <w:basedOn w:val="normal0"/>
    <w:next w:val="normal0"/>
    <w:rsid w:val="0023234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234A"/>
  </w:style>
  <w:style w:type="paragraph" w:styleId="Title">
    <w:name w:val="Title"/>
    <w:basedOn w:val="normal0"/>
    <w:next w:val="normal0"/>
    <w:rsid w:val="0023234A"/>
    <w:pPr>
      <w:keepNext/>
      <w:keepLines/>
      <w:spacing w:after="60"/>
    </w:pPr>
    <w:rPr>
      <w:sz w:val="52"/>
      <w:szCs w:val="52"/>
    </w:rPr>
  </w:style>
  <w:style w:type="paragraph" w:styleId="Subtitle">
    <w:name w:val="Subtitle"/>
    <w:basedOn w:val="normal0"/>
    <w:next w:val="normal0"/>
    <w:rsid w:val="0023234A"/>
    <w:pPr>
      <w:keepNext/>
      <w:keepLines/>
      <w:spacing w:after="320"/>
    </w:pPr>
    <w:rPr>
      <w:color w:val="666666"/>
      <w:sz w:val="30"/>
      <w:szCs w:val="30"/>
    </w:rPr>
  </w:style>
  <w:style w:type="table" w:customStyle="1" w:styleId="a">
    <w:basedOn w:val="TableNormal"/>
    <w:rsid w:val="0023234A"/>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3234A"/>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23234A"/>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11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espn.com/college-football/statistics/player/_/stat/scoring/sort/totalPoints/qualified/false" TargetMode="External"/><Relationship Id="rId4" Type="http://schemas.openxmlformats.org/officeDocument/2006/relationships/image" Target="media/image1.png"/><Relationship Id="rId9" Type="http://schemas.openxmlformats.org/officeDocument/2006/relationships/hyperlink" Target="http://www.espn.com/college-football/statistics/player/_/stat/scoring/sort/totalPoints/qualifi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Rudemacher</cp:lastModifiedBy>
  <cp:revision>2</cp:revision>
  <dcterms:created xsi:type="dcterms:W3CDTF">2018-01-06T23:37:00Z</dcterms:created>
  <dcterms:modified xsi:type="dcterms:W3CDTF">2018-01-06T23:38:00Z</dcterms:modified>
</cp:coreProperties>
</file>